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0001C">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E31F1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31F17" w:rsidRPr="00536D21">
              <w:rPr>
                <w:rFonts w:cs="Arial"/>
                <w:b w:val="0"/>
                <w:u w:val="single"/>
              </w:rPr>
            </w:r>
            <w:r w:rsidR="00E31F1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31F17" w:rsidRPr="00536D21">
              <w:rPr>
                <w:rFonts w:cs="Arial"/>
                <w:b w:val="0"/>
                <w:u w:val="single"/>
              </w:rPr>
              <w:fldChar w:fldCharType="end"/>
            </w:r>
            <w:bookmarkEnd w:id="3"/>
            <w:r w:rsidRPr="00BB5C88">
              <w:rPr>
                <w:rStyle w:val="LicenseNumSuperChar"/>
                <w:sz w:val="24"/>
                <w:szCs w:val="24"/>
                <w:vertAlign w:val="superscript"/>
              </w:rPr>
              <w:footnoteReference w:id="2"/>
            </w:r>
          </w:p>
        </w:tc>
      </w:tr>
      <w:tr w:rsidR="00B0001C" w:rsidTr="00613744">
        <w:trPr>
          <w:trHeight w:val="50"/>
        </w:trPr>
        <w:tc>
          <w:tcPr>
            <w:tcW w:w="10368" w:type="dxa"/>
          </w:tcPr>
          <w:p w:rsidR="00B0001C" w:rsidRDefault="00B0001C" w:rsidP="00613744">
            <w:pPr>
              <w:rPr>
                <w:rFonts w:cs="Times New Roman"/>
              </w:rPr>
            </w:pPr>
          </w:p>
        </w:tc>
      </w:tr>
      <w:tr w:rsidR="00B0001C" w:rsidTr="00613744">
        <w:tblPrEx>
          <w:tblCellMar>
            <w:left w:w="115" w:type="dxa"/>
            <w:right w:w="115" w:type="dxa"/>
          </w:tblCellMar>
        </w:tblPrEx>
        <w:trPr>
          <w:trHeight w:hRule="exact" w:val="408"/>
        </w:trPr>
        <w:tc>
          <w:tcPr>
            <w:tcW w:w="10368" w:type="dxa"/>
            <w:shd w:val="clear" w:color="auto" w:fill="000080"/>
            <w:vAlign w:val="center"/>
          </w:tcPr>
          <w:p w:rsidR="00B0001C" w:rsidRPr="00C6780E" w:rsidRDefault="00B0001C" w:rsidP="00613744">
            <w:pPr>
              <w:pStyle w:val="Heading2"/>
              <w:numPr>
                <w:ilvl w:val="0"/>
                <w:numId w:val="0"/>
              </w:numPr>
              <w:rPr>
                <w:b/>
              </w:rPr>
            </w:pPr>
            <w:r w:rsidRPr="00C6780E">
              <w:rPr>
                <w:b/>
              </w:rPr>
              <w:t>END-USER LICENSE AGREEMENT</w:t>
            </w:r>
          </w:p>
          <w:p w:rsidR="00B0001C" w:rsidRDefault="00B0001C" w:rsidP="00613744"/>
          <w:p w:rsidR="00B0001C" w:rsidRDefault="00B0001C" w:rsidP="00613744"/>
        </w:tc>
      </w:tr>
    </w:tbl>
    <w:p w:rsidR="00477112" w:rsidRPr="006620A5" w:rsidRDefault="00477112" w:rsidP="003B7A90">
      <w:pPr>
        <w:rPr>
          <w:rFonts w:cs="Times New Roman"/>
          <w:b w:val="0"/>
          <w:bCs w:val="0"/>
        </w:rPr>
      </w:pPr>
      <w:r w:rsidRPr="006620A5">
        <w:rPr>
          <w:b w:val="0"/>
          <w:bCs w:val="0"/>
        </w:rPr>
        <w:t xml:space="preserve">These license terms are an agreement between </w:t>
      </w:r>
      <w:r w:rsidR="00B0001C" w:rsidRPr="0017117B">
        <w:rPr>
          <w:b w:val="0"/>
          <w:bCs w:val="0"/>
        </w:rPr>
        <w:t>the licensor of the software application or suite of applications with which you acquired the Microsoft software (“Licensor”) and you</w:t>
      </w:r>
      <w:r w:rsidR="00B0001C">
        <w:rPr>
          <w:b w:val="0"/>
          <w:bCs w:val="0"/>
        </w:rPr>
        <w:t xml:space="preserve">. </w:t>
      </w:r>
      <w:r w:rsidRPr="006620A5">
        <w:rPr>
          <w:b w:val="0"/>
          <w:bCs w:val="0"/>
        </w:rPr>
        <w:t>Please read them.  They apply to the software named above, which includes the media on which you received it, if any.  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B0001C"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B7A90" w:rsidRPr="003B7A90">
        <w:rPr>
          <w:b w:val="0"/>
          <w:bCs w:val="0"/>
        </w:rPr>
        <w:t xml:space="preserve">  </w:t>
      </w:r>
      <w:r w:rsidR="00B0001C" w:rsidRPr="00CD66D9">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B0001C">
        <w:t xml:space="preserve">return it to the place of purchase </w:t>
      </w:r>
      <w:r w:rsidR="003B7A90">
        <w:t>for a refund or credit</w:t>
      </w:r>
      <w:r w:rsidRPr="006620A5">
        <w:t xml:space="preserve">.  </w:t>
      </w:r>
    </w:p>
    <w:p w:rsidR="003B7A90" w:rsidRDefault="003B7A90" w:rsidP="006620A5">
      <w:pPr>
        <w:spacing w:after="0"/>
        <w:rPr>
          <w:bCs w:val="0"/>
        </w:rPr>
      </w:pPr>
      <w:r w:rsidRPr="00DF2667">
        <w:rPr>
          <w:bCs w:val="0"/>
        </w:rPr>
        <w:t>As described below, using the software also operates as your consent to the transmission of certain computer information for Internet-based services.</w:t>
      </w:r>
    </w:p>
    <w:p w:rsidR="00B0001C" w:rsidRPr="00CD66D9" w:rsidRDefault="00B0001C" w:rsidP="00B0001C">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B0001C" w:rsidRPr="006B3837" w:rsidTr="00613744">
        <w:trPr>
          <w:trHeight w:hRule="exact" w:val="120"/>
        </w:trPr>
        <w:tc>
          <w:tcPr>
            <w:tcW w:w="10368" w:type="dxa"/>
            <w:shd w:val="clear" w:color="auto" w:fill="000080"/>
          </w:tcPr>
          <w:p w:rsidR="00B0001C" w:rsidRPr="006B3837" w:rsidRDefault="00B0001C" w:rsidP="00613744">
            <w:pPr>
              <w:rPr>
                <w:i/>
              </w:rPr>
            </w:pPr>
          </w:p>
          <w:p w:rsidR="00B0001C" w:rsidRPr="006B3837" w:rsidRDefault="00E31F17" w:rsidP="00613744">
            <w:pPr>
              <w:pStyle w:val="Heading1"/>
              <w:numPr>
                <w:ilvl w:val="0"/>
                <w:numId w:val="0"/>
              </w:numPr>
              <w:tabs>
                <w:tab w:val="num" w:pos="360"/>
              </w:tabs>
              <w:ind w:left="357" w:hanging="357"/>
              <w:rPr>
                <w:sz w:val="18"/>
              </w:rPr>
            </w:pPr>
            <w:r>
              <w:rPr>
                <w:sz w:val="18"/>
                <w:vertAlign w:val="superscript"/>
              </w:rPr>
              <w:fldChar w:fldCharType="begin"/>
            </w:r>
            <w:r w:rsidR="00B0001C" w:rsidRPr="006B3837">
              <w:rPr>
                <w:sz w:val="18"/>
                <w:vertAlign w:val="superscript"/>
              </w:rPr>
              <w:instrText>tc "Microsoft( Application Center 2000" \f C \l 1</w:instrText>
            </w:r>
            <w:r>
              <w:rPr>
                <w:sz w:val="18"/>
                <w:vertAlign w:val="superscript"/>
              </w:rPr>
              <w:fldChar w:fldCharType="end"/>
            </w:r>
            <w:r w:rsidR="00B0001C" w:rsidRPr="006B3837">
              <w:rPr>
                <w:sz w:val="18"/>
                <w:vertAlign w:val="superscript"/>
              </w:rPr>
              <w:t xml:space="preserve">  </w:t>
            </w:r>
            <w:r w:rsidR="00B0001C"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3B7A9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A85F92" w:rsidRPr="00A85F92">
        <w:rPr>
          <w:b w:val="0"/>
          <w:bCs w:val="0"/>
        </w:rPr>
        <w:t xml:space="preserve">The operating system instance used to run hardware virtualization software (e.g. Microsoft Virtual Server or similar technologies) or to provide hard virtualization </w:t>
      </w:r>
      <w:r w:rsidR="00A85F92" w:rsidRPr="00A85F92">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DD6F0A" w:rsidRDefault="00581980" w:rsidP="00DD6F0A">
      <w:pPr>
        <w:ind w:left="1440"/>
        <w:rPr>
          <w:rFonts w:cs="Times New Roman"/>
          <w:b w:val="0"/>
          <w:bCs w:val="0"/>
        </w:rPr>
      </w:pPr>
      <w:r w:rsidRPr="00DD6F0A">
        <w:rPr>
          <w:b w:val="0"/>
          <w:bCs w:val="0"/>
        </w:rPr>
        <w:t>one physical operating system environment</w:t>
      </w:r>
    </w:p>
    <w:p w:rsidR="00581980" w:rsidRPr="00DD6F0A" w:rsidRDefault="00581980" w:rsidP="00DD6F0A">
      <w:pPr>
        <w:ind w:left="1440"/>
        <w:rPr>
          <w:rFonts w:cs="Times New Roman"/>
          <w:b w:val="0"/>
          <w:bCs w:val="0"/>
        </w:rPr>
      </w:pPr>
      <w:r w:rsidRPr="00DD6F0A">
        <w:rPr>
          <w:b w:val="0"/>
          <w:bCs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B0001C">
        <w:rPr>
          <w:b w:val="0"/>
          <w:bCs w:val="0"/>
        </w:rPr>
        <w:t>“</w:t>
      </w:r>
      <w:r w:rsidRPr="00DD6F0A">
        <w:rPr>
          <w:b w:val="0"/>
          <w:bCs w:val="0"/>
        </w:rPr>
        <w:t>server</w:t>
      </w:r>
      <w:r w:rsidR="00B0001C">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B0001C">
        <w:rPr>
          <w:b w:val="0"/>
          <w:bCs w:val="0"/>
        </w:rPr>
        <w:t>“</w:t>
      </w:r>
      <w:r w:rsidRPr="00DD6F0A">
        <w:rPr>
          <w:b w:val="0"/>
          <w:bCs w:val="0"/>
        </w:rPr>
        <w:t>physical processor</w:t>
      </w:r>
      <w:r w:rsidR="00B0001C">
        <w:rPr>
          <w:b w:val="0"/>
          <w:bCs w:val="0"/>
        </w:rPr>
        <w:t>”</w:t>
      </w:r>
      <w:r w:rsidRPr="00DD6F0A">
        <w:rPr>
          <w:b w:val="0"/>
          <w:bCs w:val="0"/>
        </w:rPr>
        <w:t xml:space="preserve"> is a processor in a physical hardware system. Physical operating system environments use physical processors. A </w:t>
      </w:r>
      <w:r w:rsidR="00B0001C">
        <w:rPr>
          <w:b w:val="0"/>
          <w:bCs w:val="0"/>
        </w:rPr>
        <w:t>“</w:t>
      </w:r>
      <w:r w:rsidRPr="00DD6F0A">
        <w:rPr>
          <w:b w:val="0"/>
          <w:bCs w:val="0"/>
        </w:rPr>
        <w:t>virtual processor</w:t>
      </w:r>
      <w:r w:rsidR="00B0001C">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B0001C">
        <w:rPr>
          <w:b w:val="0"/>
          <w:bCs w:val="0"/>
        </w:rPr>
        <w:t>“</w:t>
      </w:r>
      <w:r w:rsidRPr="00DD6F0A">
        <w:rPr>
          <w:b w:val="0"/>
          <w:bCs w:val="0"/>
        </w:rPr>
        <w:t>assign a license</w:t>
      </w:r>
      <w:r w:rsidR="00B0001C">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283482" w:rsidRPr="0040772D" w:rsidRDefault="00B11E0A" w:rsidP="00283482">
      <w:pPr>
        <w:pStyle w:val="Heading2"/>
        <w:autoSpaceDE/>
        <w:autoSpaceDN/>
        <w:adjustRightInd/>
        <w:spacing w:after="120"/>
      </w:pPr>
      <w:r w:rsidRPr="00B11E0A">
        <w:rPr>
          <w:b/>
        </w:rPr>
        <w:t>Licensing a Server.</w:t>
      </w:r>
      <w:r w:rsidR="00283482" w:rsidRPr="0040772D">
        <w:t xml:space="preserve"> </w:t>
      </w:r>
      <w:r w:rsidR="00283482" w:rsidRPr="00D7504C">
        <w:t xml:space="preserve">Before you run instances of the server software on a server, you must determine the required number of software licenses </w:t>
      </w:r>
      <w:r w:rsidR="00283482">
        <w:t>and assign those licenses to the server as described below.</w:t>
      </w:r>
    </w:p>
    <w:p w:rsidR="00283482" w:rsidRPr="00283482" w:rsidRDefault="00B11E0A" w:rsidP="00283482">
      <w:pPr>
        <w:pStyle w:val="Heading3"/>
        <w:tabs>
          <w:tab w:val="num" w:pos="1077"/>
        </w:tabs>
        <w:autoSpaceDE/>
        <w:autoSpaceDN/>
        <w:adjustRightInd/>
        <w:spacing w:after="120"/>
        <w:rPr>
          <w:b w:val="0"/>
        </w:rPr>
      </w:pPr>
      <w:r w:rsidRPr="00B11E0A">
        <w:rPr>
          <w:b w:val="0"/>
        </w:rPr>
        <w:t>Determining the Number of Licenses Required.</w:t>
      </w:r>
      <w:r w:rsidR="00283482" w:rsidRPr="0040772D">
        <w:t xml:space="preserve"> </w:t>
      </w:r>
      <w:r w:rsidR="00283482" w:rsidRPr="00283482">
        <w:rPr>
          <w:b w:val="0"/>
          <w:bCs w:val="0"/>
        </w:rPr>
        <w:t xml:space="preserve">You must first determine the number of software licenses you need. </w:t>
      </w:r>
      <w:r w:rsidRPr="00B11E0A">
        <w:rPr>
          <w:b w:val="0"/>
        </w:rPr>
        <w:t>The total number of software licenses required for a server equals the sum of the software licenses required under (A) and (B) below.</w:t>
      </w:r>
    </w:p>
    <w:p w:rsidR="00283482" w:rsidRPr="00283482" w:rsidRDefault="00B11E0A" w:rsidP="00283482">
      <w:pPr>
        <w:pStyle w:val="Bullet4"/>
        <w:autoSpaceDE/>
        <w:autoSpaceDN/>
        <w:adjustRightInd/>
        <w:spacing w:after="120"/>
        <w:rPr>
          <w:b w:val="0"/>
        </w:rPr>
      </w:pPr>
      <w:r w:rsidRPr="00B11E0A">
        <w:rPr>
          <w:b w:val="0"/>
        </w:rPr>
        <w:t>(A) To run instances of the server software in the physical operating system environment on a server, you need a software license for each physical processor that the physical operating system environment uses.</w:t>
      </w:r>
    </w:p>
    <w:p w:rsidR="00283482" w:rsidRPr="00283482" w:rsidRDefault="00B11E0A" w:rsidP="00283482">
      <w:pPr>
        <w:pStyle w:val="Bullet4"/>
        <w:autoSpaceDE/>
        <w:autoSpaceDN/>
        <w:adjustRightInd/>
        <w:spacing w:after="120"/>
        <w:rPr>
          <w:b w:val="0"/>
        </w:rPr>
      </w:pPr>
      <w:r w:rsidRPr="00B11E0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283482" w:rsidRDefault="00283482" w:rsidP="00283482">
      <w:pPr>
        <w:pStyle w:val="Heading2"/>
        <w:rPr>
          <w:b/>
          <w:bCs/>
        </w:rPr>
      </w:pPr>
      <w:r w:rsidRPr="00D51E1E">
        <w:rPr>
          <w:b/>
          <w:bCs/>
        </w:rPr>
        <w:t>Assign</w:t>
      </w:r>
      <w:r w:rsidR="00B11E0A" w:rsidRPr="00B11E0A">
        <w:rPr>
          <w:b/>
          <w:bCs/>
        </w:rPr>
        <w:t>ing</w:t>
      </w:r>
      <w:r>
        <w:rPr>
          <w:b/>
          <w:bCs/>
        </w:rPr>
        <w:t xml:space="preserve"> of</w:t>
      </w:r>
      <w:r w:rsidRPr="00D51E1E">
        <w:rPr>
          <w:b/>
          <w:bCs/>
        </w:rPr>
        <w:t xml:space="preserve"> the Required Number of Licenses to the Server.  </w:t>
      </w:r>
    </w:p>
    <w:p w:rsidR="00283482" w:rsidRPr="00283482" w:rsidRDefault="00B11E0A" w:rsidP="00283482">
      <w:pPr>
        <w:pStyle w:val="Heading3"/>
        <w:rPr>
          <w:b w:val="0"/>
          <w:bCs w:val="0"/>
        </w:rPr>
      </w:pPr>
      <w:r w:rsidRPr="00B11E0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283482" w:rsidRDefault="00B11E0A" w:rsidP="00283482">
      <w:pPr>
        <w:pStyle w:val="Heading3"/>
        <w:rPr>
          <w:b w:val="0"/>
          <w:bCs w:val="0"/>
        </w:rPr>
      </w:pPr>
      <w:r w:rsidRPr="00B11E0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C6B80" w:rsidRDefault="00EF1AFA" w:rsidP="00A85F92">
      <w:pPr>
        <w:pStyle w:val="Heading2"/>
        <w:autoSpaceDE/>
        <w:autoSpaceDN/>
        <w:adjustRightInd/>
        <w:spacing w:after="120"/>
      </w:pPr>
      <w:r w:rsidRPr="00EF1AFA">
        <w:rPr>
          <w:b/>
          <w:bCs/>
        </w:rPr>
        <w:t>Running Instances of the Server Software</w:t>
      </w:r>
      <w:r w:rsidR="00E93C4C">
        <w:rPr>
          <w:b/>
          <w:bCs/>
        </w:rPr>
        <w:t>.</w:t>
      </w:r>
      <w:r w:rsidRPr="00803031">
        <w:t xml:space="preserve"> </w:t>
      </w:r>
      <w:r w:rsidR="00A85F92" w:rsidRPr="00BC6B80">
        <w:rPr>
          <w:bCs/>
        </w:rPr>
        <w:t>If a number of licenses have been assigned to a server equal to its total number of physical processors:</w:t>
      </w:r>
    </w:p>
    <w:p w:rsidR="00A85F92" w:rsidRPr="00BC6B80" w:rsidRDefault="00A85F92" w:rsidP="00A85F92">
      <w:pPr>
        <w:pStyle w:val="Bullet3"/>
        <w:autoSpaceDE/>
        <w:autoSpaceDN/>
        <w:adjustRightInd/>
        <w:spacing w:after="120"/>
        <w:rPr>
          <w:b w:val="0"/>
        </w:rPr>
      </w:pPr>
      <w:r w:rsidRPr="00BC6B80">
        <w:rPr>
          <w:b w:val="0"/>
        </w:rPr>
        <w:t>You may run, at any one time, any number of instances of the server software in one physical and any number of virtual operating system environments on that server.</w:t>
      </w:r>
    </w:p>
    <w:p w:rsidR="00A85F92" w:rsidRPr="00BC6B80" w:rsidRDefault="00A85F92" w:rsidP="00A85F92">
      <w:pPr>
        <w:pStyle w:val="Bullet3"/>
        <w:autoSpaceDE/>
        <w:autoSpaceDN/>
        <w:adjustRightInd/>
        <w:spacing w:after="120"/>
        <w:rPr>
          <w:b w:val="0"/>
        </w:rPr>
      </w:pPr>
      <w:r w:rsidRPr="00BC6B80">
        <w:rPr>
          <w:b w:val="0"/>
        </w:rPr>
        <w:t>You do not need to license virtual processors.</w:t>
      </w:r>
    </w:p>
    <w:p w:rsidR="007B5085" w:rsidRPr="00E57A15" w:rsidRDefault="00BC6B80" w:rsidP="00A85F92">
      <w:pPr>
        <w:pStyle w:val="Heading2"/>
        <w:numPr>
          <w:ilvl w:val="0"/>
          <w:numId w:val="0"/>
        </w:numPr>
        <w:ind w:left="720"/>
        <w:rPr>
          <w:rFonts w:cs="Times New Roman"/>
        </w:rPr>
      </w:pPr>
      <w:r w:rsidRPr="00803031">
        <w:t>However, the total number of physical and virtual processors used by those operating system environments cannot exceed the number of software licenses assigned to that server.</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lastRenderedPageBreak/>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1B0886">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EA49D7" w:rsidRDefault="0057043A" w:rsidP="006620A5">
      <w:pPr>
        <w:pStyle w:val="Bullet3"/>
        <w:rPr>
          <w:rFonts w:cs="Times New Roman"/>
          <w:b w:val="0"/>
          <w:bCs w:val="0"/>
        </w:rPr>
      </w:pPr>
      <w:r w:rsidRPr="00060828">
        <w:rPr>
          <w:b w:val="0"/>
        </w:rPr>
        <w:t>MQSeries Agent</w:t>
      </w:r>
      <w:bookmarkEnd w:id="4"/>
    </w:p>
    <w:p w:rsidR="00EA49D7" w:rsidRPr="004A7E94" w:rsidRDefault="00EA49D7"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4A7E94" w:rsidRDefault="00783D3F" w:rsidP="00783D3F">
      <w:pPr>
        <w:pStyle w:val="Heading2"/>
        <w:rPr>
          <w:rFonts w:cs="Times New Roman"/>
        </w:rPr>
      </w:pPr>
      <w:r w:rsidRPr="004A7E94">
        <w:rPr>
          <w:rFonts w:cs="Times New Roman"/>
          <w:b/>
          <w:bCs/>
        </w:rPr>
        <w:t>Master Secret Server.</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4A7E94" w:rsidRDefault="00783D3F" w:rsidP="00783D3F">
      <w:pPr>
        <w:pStyle w:val="Heading2"/>
        <w:rPr>
          <w:rFonts w:cs="Times New Roman"/>
        </w:rPr>
      </w:pPr>
      <w:r w:rsidRPr="004A7E94">
        <w:rPr>
          <w:b/>
          <w:bCs/>
        </w:rPr>
        <w:t>Network Clusters.</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server software may not be used on a server that is part of a networked cluster, or in an operating system environment that is part of a networked cluster of operating system environments on the same server.</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3079E5"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3079E5" w:rsidRDefault="003079E5" w:rsidP="006620A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sidR="001A1A80">
        <w:rPr>
          <w:bCs/>
        </w:rPr>
        <w:t xml:space="preserve"> </w:t>
      </w:r>
      <w:r w:rsidR="001A1A80"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CC6240">
        <w:rPr>
          <w:b/>
          <w:bCs/>
        </w:rPr>
        <w:t xml:space="preserve"> for System Center Operations Manager</w:t>
      </w:r>
      <w:r w:rsidRPr="00820AEC">
        <w:t>.  The server software may contain Management Packs</w:t>
      </w:r>
      <w:r w:rsidR="00CC6240">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B11E0A" w:rsidRPr="00B11E0A">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041314" w:rsidRDefault="00EF158A" w:rsidP="00EB1B35">
      <w:pPr>
        <w:pStyle w:val="Bullet4"/>
        <w:rPr>
          <w:b w:val="0"/>
          <w:bCs w:val="0"/>
        </w:rPr>
      </w:pPr>
      <w:r w:rsidRPr="00EF158A">
        <w:rPr>
          <w:b w:val="0"/>
          <w:bCs w:val="0"/>
          <w:u w:val="single"/>
        </w:rPr>
        <w:t>Third Party Distribution</w:t>
      </w:r>
      <w:r w:rsidRPr="00EB1B35">
        <w:rPr>
          <w:b w:val="0"/>
          <w:bCs w:val="0"/>
        </w:rPr>
        <w:t>.  You may permit distributors of your programs to copy and distribute the Distributable Code as part of those programs</w:t>
      </w:r>
      <w:r>
        <w:rPr>
          <w:b w:val="0"/>
          <w:bCs w:val="0"/>
        </w:rPr>
        <w:t>.</w:t>
      </w:r>
    </w:p>
    <w:p w:rsidR="00EF158A" w:rsidRPr="00EF158A" w:rsidRDefault="00EF158A" w:rsidP="004A7E94">
      <w:pPr>
        <w:pStyle w:val="Heading3"/>
        <w:numPr>
          <w:ilvl w:val="2"/>
          <w:numId w:val="16"/>
        </w:numPr>
      </w:pPr>
      <w:r w:rsidRPr="00803031">
        <w:t xml:space="preserve">Distribution Requirements.  </w:t>
      </w:r>
      <w:r w:rsidR="00B11E0A" w:rsidRPr="00B11E0A">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indemnify, defend, and hold harmless</w:t>
      </w:r>
      <w:r w:rsidR="00B0001C">
        <w:rPr>
          <w:b w:val="0"/>
          <w:bCs w:val="0"/>
        </w:rPr>
        <w:t xml:space="preserve"> Licensor and</w:t>
      </w:r>
      <w:r w:rsidRPr="00EF158A">
        <w:rPr>
          <w:b w:val="0"/>
          <w:bCs w:val="0"/>
        </w:rPr>
        <w:t xml:space="preserve"> 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B11E0A" w:rsidRPr="00B11E0A">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E763D3"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021DD4" w:rsidRPr="00021DD4" w:rsidRDefault="00021DD4" w:rsidP="00021DD4">
      <w:pPr>
        <w:pStyle w:val="body2underline0"/>
        <w:rPr>
          <w:u w:val="none"/>
        </w:rPr>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Default="00021DD4" w:rsidP="00021DD4">
      <w:pPr>
        <w:pStyle w:val="ListParagraph"/>
        <w:ind w:left="1080" w:hanging="360"/>
      </w:pPr>
      <w:r>
        <w:rPr>
          <w:rFonts w:ascii="Symbol" w:hAnsi="Symbol"/>
          <w:sz w:val="19"/>
          <w:szCs w:val="19"/>
        </w:rPr>
        <w:t></w:t>
      </w:r>
      <w:r w:rsidR="00DF5014">
        <w:rPr>
          <w:rFonts w:ascii="Times New Roman" w:hAnsi="Times New Roman"/>
          <w:sz w:val="14"/>
          <w:szCs w:val="14"/>
        </w:rPr>
        <w:tab/>
      </w:r>
      <w:r w:rsidR="00E763D3" w:rsidRPr="00E763D3">
        <w:rPr>
          <w:rFonts w:ascii="Tahoma" w:hAnsi="Tahoma" w:cs="Tahoma"/>
          <w:sz w:val="19"/>
          <w:szCs w:val="19"/>
          <w:u w:val="single"/>
        </w:rPr>
        <w:t xml:space="preserve"> </w:t>
      </w:r>
      <w:r w:rsidR="00E763D3" w:rsidRPr="00466D66">
        <w:rPr>
          <w:rFonts w:ascii="Tahoma" w:hAnsi="Tahoma" w:cs="Tahoma"/>
          <w:sz w:val="19"/>
          <w:szCs w:val="19"/>
          <w:u w:val="single"/>
        </w:rPr>
        <w:t>Microsoft Error Reporting Service.</w:t>
      </w:r>
      <w:r w:rsidR="00E763D3"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r w:rsidR="00E763D3">
        <w:rPr>
          <w:rFonts w:ascii="Tahoma" w:hAnsi="Tahoma" w:cs="Tahoma"/>
          <w:sz w:val="19"/>
          <w:szCs w:val="19"/>
        </w:rPr>
        <w:t>.</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871F44">
        <w:t xml:space="preserve">one or more components of </w:t>
      </w:r>
      <w:r w:rsidRPr="00020040">
        <w:t>the .NET Framework (“.NET Component</w:t>
      </w:r>
      <w:r w:rsidR="00871F44">
        <w:t>s</w:t>
      </w:r>
      <w:r w:rsidRPr="00020040">
        <w:t xml:space="preserve">”).  You may conduct internal benchmark testing of </w:t>
      </w:r>
      <w:r w:rsidR="008C06FA">
        <w:t>those components</w:t>
      </w:r>
      <w:r w:rsidRPr="00020040">
        <w:t xml:space="preserve">.  You may disclose the results of any benchmark test of </w:t>
      </w:r>
      <w:r w:rsidR="008C06FA">
        <w:t>those components</w:t>
      </w:r>
      <w:r w:rsidRPr="00020040">
        <w:t xml:space="preserve">, provided that you comply with the </w:t>
      </w:r>
      <w:r w:rsidR="008C06FA">
        <w:t>conditions set forth at www.go.microsoft.com/fwlink?LinkID=66406.</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8C06FA">
        <w:t xml:space="preserve">applicable </w:t>
      </w:r>
      <w:r w:rsidRPr="00020040">
        <w:t xml:space="preserve">.NET Component, provided it complies with the same conditions </w:t>
      </w:r>
      <w:r w:rsidR="008C06FA" w:rsidRPr="008C06FA">
        <w:t xml:space="preserve"> </w:t>
      </w:r>
      <w:r w:rsidR="008C06FA">
        <w:t xml:space="preserve">set forth at </w:t>
      </w:r>
      <w:hyperlink r:id="rId10" w:history="1">
        <w:r w:rsidR="008C06FA" w:rsidRPr="009953FB">
          <w:rPr>
            <w:rStyle w:val="Hyperlink"/>
            <w:rFonts w:cs="Tahoma"/>
            <w:bCs/>
          </w:rPr>
          <w:t>www.go.microsoft.com/fwlink/?LinkID=66406</w:t>
        </w:r>
      </w:hyperlink>
      <w:r w:rsidRPr="00020040">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B0001C">
        <w:t xml:space="preserve">Licensor </w:t>
      </w:r>
      <w:r w:rsidR="00AA2F60" w:rsidRPr="00AA2F60">
        <w:rPr>
          <w:bCs/>
        </w:rPr>
        <w:t>and</w:t>
      </w:r>
      <w:r w:rsidR="00AA2F60" w:rsidRPr="00AA2F60">
        <w:rPr>
          <w:b/>
          <w:bCs/>
        </w:rPr>
        <w:t xml:space="preserve">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477112" w:rsidRPr="00020040" w:rsidRDefault="00477112" w:rsidP="006620A5">
      <w:pPr>
        <w:pStyle w:val="Heading1"/>
        <w:rPr>
          <w:rFonts w:cs="Times New Roman"/>
        </w:rPr>
      </w:pPr>
      <w:r w:rsidRPr="00F458EB">
        <w:rPr>
          <w:b/>
          <w:bCs/>
        </w:rPr>
        <w:t>UPGRADE</w:t>
      </w:r>
      <w:r w:rsidRPr="00020040">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F458EB" w:rsidRDefault="00477112" w:rsidP="004A7E94">
      <w:pPr>
        <w:pStyle w:val="Heading1Unbold"/>
        <w:rPr>
          <w:rFonts w:cs="Times New Roman"/>
          <w:b w:val="0"/>
          <w:bCs w:val="0"/>
        </w:rPr>
      </w:pPr>
      <w:r w:rsidRPr="00020040">
        <w:t xml:space="preserve">TRANSFER TO A THIRD PARTY.  </w:t>
      </w:r>
      <w:r w:rsidRPr="00F458EB">
        <w:rPr>
          <w:b w:val="0"/>
          <w:bCs w:val="0"/>
        </w:rPr>
        <w:t>The first user of the software may transfer it</w:t>
      </w:r>
      <w:r w:rsidR="006667D6" w:rsidRPr="00F458EB">
        <w:rPr>
          <w:b w:val="0"/>
          <w:bCs w:val="0"/>
        </w:rPr>
        <w:t xml:space="preserve">, and </w:t>
      </w:r>
      <w:r w:rsidRPr="00F458EB">
        <w:rPr>
          <w:b w:val="0"/>
          <w:bCs w:val="0"/>
        </w:rPr>
        <w:t>this agreement</w:t>
      </w:r>
      <w:r w:rsidR="006667D6" w:rsidRPr="00F458EB">
        <w:rPr>
          <w:b w:val="0"/>
          <w:bCs w:val="0"/>
        </w:rPr>
        <w:t>,</w:t>
      </w:r>
      <w:r w:rsidRPr="00F458EB">
        <w:rPr>
          <w:b w:val="0"/>
          <w:bCs w:val="0"/>
        </w:rPr>
        <w:t xml:space="preserve"> directly to </w:t>
      </w:r>
      <w:r w:rsidR="00B11E0A" w:rsidRPr="00B11E0A">
        <w:rPr>
          <w:b w:val="0"/>
          <w:bCs w:val="0"/>
        </w:rPr>
        <w:t>another end user as part of a transfer of the integrated software turnkey application or suite of applications (the “Unified Solution”) delivered to you by or on behalf of the Licensor solely as part of the Unified Solution</w:t>
      </w:r>
      <w:r w:rsidRPr="00F458EB">
        <w:rPr>
          <w:b w:val="0"/>
          <w:bCs w:val="0"/>
        </w:rPr>
        <w:t xml:space="preserve">.  Before the transfer, that party must agree that this agreement applies to the transfer and use of the software.  </w:t>
      </w:r>
      <w:r w:rsidR="00E40987" w:rsidRPr="00F458EB">
        <w:rPr>
          <w:b w:val="0"/>
          <w:bCs w:val="0"/>
        </w:rPr>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B0001C">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B0001C">
        <w:t>Licensor</w:t>
      </w:r>
      <w:r w:rsidR="00B0001C" w:rsidRPr="00020040">
        <w:t xml:space="preserve"> </w:t>
      </w:r>
      <w:r w:rsidRPr="00020040">
        <w:t>from whom you acquired the software.  This agreement does not change your rights under the laws of your state or country if the laws of your state or country do not permit it to do so.</w:t>
      </w:r>
    </w:p>
    <w:p w:rsidR="00B0001C" w:rsidRPr="003455DD" w:rsidRDefault="00B0001C" w:rsidP="00B0001C">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3455DD" w:rsidRDefault="00B0001C" w:rsidP="00B0001C">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3455DD" w:rsidRDefault="00B0001C" w:rsidP="00B0001C">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3455DD" w:rsidRDefault="00B0001C" w:rsidP="00B0001C">
      <w:pPr>
        <w:pStyle w:val="Heading1"/>
        <w:numPr>
          <w:ilvl w:val="0"/>
          <w:numId w:val="0"/>
        </w:numPr>
        <w:ind w:left="357"/>
      </w:pPr>
    </w:p>
    <w:p w:rsidR="00E31F17" w:rsidRDefault="00B0001C">
      <w:pPr>
        <w:pStyle w:val="Heading1"/>
        <w:numPr>
          <w:ilvl w:val="0"/>
          <w:numId w:val="0"/>
        </w:numPr>
        <w:ind w:left="357"/>
      </w:pPr>
      <w:r w:rsidRPr="003455DD">
        <w:t xml:space="preserve">Microsoft and BizTalk are registered trademarks of </w:t>
      </w:r>
      <w:r w:rsidRPr="00A71179">
        <w:t xml:space="preserve">Microsoft Corporation in the </w:t>
      </w:r>
      <w:r w:rsidRPr="003455DD">
        <w:t>United States and/or other countries.</w:t>
      </w:r>
    </w:p>
    <w:sectPr w:rsidR="00E31F17"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1A3" w:rsidRDefault="002E31A3" w:rsidP="006620A5">
      <w:r>
        <w:separator/>
      </w:r>
    </w:p>
  </w:endnote>
  <w:endnote w:type="continuationSeparator" w:id="1">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E31F17" w:rsidRPr="007D02CE">
            <w:rPr>
              <w:rStyle w:val="PageNumber"/>
              <w:b w:val="0"/>
              <w:sz w:val="18"/>
              <w:szCs w:val="18"/>
            </w:rPr>
            <w:fldChar w:fldCharType="begin"/>
          </w:r>
          <w:r w:rsidRPr="007D02CE">
            <w:rPr>
              <w:rStyle w:val="PageNumber"/>
              <w:b w:val="0"/>
              <w:sz w:val="18"/>
              <w:szCs w:val="18"/>
            </w:rPr>
            <w:instrText xml:space="preserve"> PAGE </w:instrText>
          </w:r>
          <w:r w:rsidR="00E31F17" w:rsidRPr="007D02CE">
            <w:rPr>
              <w:rStyle w:val="PageNumber"/>
              <w:b w:val="0"/>
              <w:sz w:val="18"/>
              <w:szCs w:val="18"/>
            </w:rPr>
            <w:fldChar w:fldCharType="separate"/>
          </w:r>
          <w:r w:rsidR="009640C4">
            <w:rPr>
              <w:rStyle w:val="PageNumber"/>
              <w:b w:val="0"/>
              <w:noProof/>
              <w:sz w:val="18"/>
              <w:szCs w:val="18"/>
            </w:rPr>
            <w:t>1</w:t>
          </w:r>
          <w:r w:rsidR="00E31F17" w:rsidRPr="007D02CE">
            <w:rPr>
              <w:rStyle w:val="PageNumber"/>
              <w:b w:val="0"/>
              <w:sz w:val="18"/>
              <w:szCs w:val="18"/>
            </w:rPr>
            <w:fldChar w:fldCharType="end"/>
          </w:r>
          <w:r w:rsidRPr="007D02CE">
            <w:rPr>
              <w:rStyle w:val="PageNumber"/>
              <w:b w:val="0"/>
              <w:sz w:val="18"/>
              <w:szCs w:val="18"/>
            </w:rPr>
            <w:t xml:space="preserve"> of </w:t>
          </w:r>
          <w:r w:rsidR="00E31F17" w:rsidRPr="007D02CE">
            <w:rPr>
              <w:rStyle w:val="PageNumber"/>
              <w:b w:val="0"/>
              <w:sz w:val="18"/>
              <w:szCs w:val="18"/>
            </w:rPr>
            <w:fldChar w:fldCharType="begin"/>
          </w:r>
          <w:r w:rsidRPr="007D02CE">
            <w:rPr>
              <w:rStyle w:val="PageNumber"/>
              <w:b w:val="0"/>
              <w:sz w:val="18"/>
              <w:szCs w:val="18"/>
            </w:rPr>
            <w:instrText xml:space="preserve"> NUMPAGES </w:instrText>
          </w:r>
          <w:r w:rsidR="00E31F17" w:rsidRPr="007D02CE">
            <w:rPr>
              <w:rStyle w:val="PageNumber"/>
              <w:b w:val="0"/>
              <w:sz w:val="18"/>
              <w:szCs w:val="18"/>
            </w:rPr>
            <w:fldChar w:fldCharType="separate"/>
          </w:r>
          <w:r w:rsidR="009640C4">
            <w:rPr>
              <w:rStyle w:val="PageNumber"/>
              <w:b w:val="0"/>
              <w:noProof/>
              <w:sz w:val="18"/>
              <w:szCs w:val="18"/>
            </w:rPr>
            <w:t>3</w:t>
          </w:r>
          <w:r w:rsidR="00E31F17"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1A3" w:rsidRDefault="002E31A3" w:rsidP="006620A5">
      <w:r>
        <w:separator/>
      </w:r>
    </w:p>
  </w:footnote>
  <w:footnote w:type="continuationSeparator" w:id="1">
    <w:p w:rsidR="002E31A3" w:rsidRDefault="002E31A3" w:rsidP="006620A5">
      <w:r>
        <w:continuationSeparator/>
      </w:r>
    </w:p>
  </w:footnote>
  <w:footnote w:id="2">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0"/>
  </w:num>
  <w:num w:numId="4">
    <w:abstractNumId w:val="9"/>
  </w:num>
  <w:num w:numId="5">
    <w:abstractNumId w:val="13"/>
  </w:num>
  <w:num w:numId="6">
    <w:abstractNumId w:val="14"/>
  </w:num>
  <w:num w:numId="7">
    <w:abstractNumId w:val="8"/>
  </w:num>
  <w:num w:numId="8">
    <w:abstractNumId w:val="6"/>
  </w:num>
  <w:num w:numId="9">
    <w:abstractNumId w:val="0"/>
  </w:num>
  <w:num w:numId="10">
    <w:abstractNumId w:val="2"/>
  </w:num>
  <w:num w:numId="11">
    <w:abstractNumId w:val="1"/>
  </w:num>
  <w:num w:numId="12">
    <w:abstractNumId w:val="12"/>
  </w:num>
  <w:num w:numId="13">
    <w:abstractNumId w:val="7"/>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bipUMAcNtFs6HDXB+YwzqXvG5rE=" w:salt="Ry5qVASwdUo7W9EXvaFl8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462F5"/>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32554"/>
    <w:rsid w:val="009351DA"/>
    <w:rsid w:val="00935893"/>
    <w:rsid w:val="00953B65"/>
    <w:rsid w:val="0096256A"/>
    <w:rsid w:val="009640C4"/>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11E0A"/>
    <w:rsid w:val="00B226FE"/>
    <w:rsid w:val="00B2756E"/>
    <w:rsid w:val="00B42CD7"/>
    <w:rsid w:val="00B45FDA"/>
    <w:rsid w:val="00B90A9A"/>
    <w:rsid w:val="00BB2E30"/>
    <w:rsid w:val="00BC6B80"/>
    <w:rsid w:val="00BC72B7"/>
    <w:rsid w:val="00BD78F5"/>
    <w:rsid w:val="00BE2FD1"/>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1F17"/>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2901</Words>
  <Characters>16540</Characters>
  <Application>Microsoft Office Word</Application>
  <DocSecurity>0</DocSecurity>
  <Lines>137</Lines>
  <Paragraphs>38</Paragraphs>
  <ScaleCrop>false</ScaleCrop>
  <Company>Microsoft Corporation</Company>
  <LinksUpToDate>false</LinksUpToDate>
  <CharactersWithSpaces>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2009-02-24T22:47:00Z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